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9371C5" w14:textId="77777777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color w:val="444746"/>
          <w:sz w:val="24"/>
          <w:szCs w:val="24"/>
        </w:rPr>
      </w:pPr>
      <w:r w:rsidRPr="00E26BD2">
        <w:rPr>
          <w:rFonts w:ascii="Times New Roman" w:eastAsia="Times New Roman" w:hAnsi="Times New Roman" w:cs="Times New Roman"/>
          <w:b/>
          <w:bCs/>
          <w:color w:val="444746"/>
          <w:sz w:val="24"/>
          <w:szCs w:val="24"/>
        </w:rPr>
        <w:t>Ингибирование протеасомы как побочный эффект эверолимуса, специфичный к типу рака</w:t>
      </w:r>
    </w:p>
    <w:p w14:paraId="69805F84" w14:textId="77777777" w:rsidR="00877BF4" w:rsidRPr="00E26BD2" w:rsidRDefault="00877BF4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7CDD39B2" w14:textId="10190950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Воробьева </w:t>
      </w:r>
      <w:proofErr w:type="gramStart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А.С.</w:t>
      </w:r>
      <w:proofErr w:type="gramEnd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1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, Казакова Е.М.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1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, </w:t>
      </w:r>
      <w:proofErr w:type="spellStart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Гарибова</w:t>
      </w:r>
      <w:proofErr w:type="spellEnd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Л.А.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1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, </w:t>
      </w:r>
      <w:proofErr w:type="spellStart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Емекеева</w:t>
      </w:r>
      <w:proofErr w:type="spellEnd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Д.Д.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1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, </w:t>
      </w:r>
      <w:proofErr w:type="spellStart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Кусаинова</w:t>
      </w:r>
      <w:proofErr w:type="spellEnd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Т.Т.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1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, Федоров И.И.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1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, </w:t>
      </w:r>
      <w:proofErr w:type="spellStart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Шелепчиков</w:t>
      </w:r>
      <w:proofErr w:type="spellEnd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А.А.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2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, Третьяков А.В.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2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, Чугунов А.О.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3,4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, Горшков М.В.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1</w:t>
      </w:r>
      <w:r w:rsidR="00791C7B"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,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Тарасова И.А.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  <w:vertAlign w:val="superscript"/>
        </w:rPr>
        <w:t>1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*</w:t>
      </w:r>
    </w:p>
    <w:p w14:paraId="4DFB4D56" w14:textId="77777777" w:rsidR="00877BF4" w:rsidRPr="00E26BD2" w:rsidRDefault="00877BF4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3CD2B6D5" w14:textId="77777777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26BD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 Обособленное структурное подразделение ИНЭПХФ им. В.Л. </w:t>
      </w:r>
      <w:proofErr w:type="spellStart"/>
      <w:r w:rsidRPr="00E26BD2">
        <w:rPr>
          <w:rFonts w:ascii="Times New Roman" w:eastAsia="Times New Roman" w:hAnsi="Times New Roman" w:cs="Times New Roman"/>
          <w:sz w:val="24"/>
          <w:szCs w:val="24"/>
        </w:rPr>
        <w:t>Тальрозе</w:t>
      </w:r>
      <w:proofErr w:type="spellEnd"/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 ФИЦ ХФ РАН, 119334 Москва, Россия;</w:t>
      </w:r>
    </w:p>
    <w:p w14:paraId="7ABCD401" w14:textId="1B7DA61A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26BD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 Ф</w:t>
      </w:r>
      <w:r w:rsidR="00791C7B">
        <w:rPr>
          <w:rFonts w:ascii="Times New Roman" w:eastAsia="Times New Roman" w:hAnsi="Times New Roman" w:cs="Times New Roman"/>
          <w:sz w:val="24"/>
          <w:szCs w:val="24"/>
          <w:lang w:val="ru-RU"/>
        </w:rPr>
        <w:t>ГБУ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 «Всероссийский государственный Центр качества и стандартизации лекарственных средств для животных и кормов», 123022 Москва, Россия;</w:t>
      </w:r>
    </w:p>
    <w:p w14:paraId="391E2745" w14:textId="19E5F578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26BD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 Институт биоорганической химии имени </w:t>
      </w:r>
      <w:r w:rsidR="00791C7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академиков 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>М.М. Шемякина и Ю.А. Овчинникова Российской академии наук, 117997 Москва, Россия;</w:t>
      </w:r>
    </w:p>
    <w:p w14:paraId="54D5541D" w14:textId="77777777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26BD2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4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 Научно-исследовательский институт системной биологии и медицины Роспотребнадзора, 117246 Москва, Россия;</w:t>
      </w:r>
    </w:p>
    <w:p w14:paraId="1708B268" w14:textId="77777777" w:rsidR="00877BF4" w:rsidRPr="00E26BD2" w:rsidRDefault="00877BF4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43B0F967" w14:textId="77777777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*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электронная почта: </w:t>
      </w:r>
      <w:hyperlink r:id="rId5">
        <w:r w:rsidRPr="00E26BD2">
          <w:rPr>
            <w:rFonts w:ascii="Times New Roman" w:eastAsia="Times New Roman" w:hAnsi="Times New Roman" w:cs="Times New Roman"/>
            <w:sz w:val="24"/>
            <w:szCs w:val="24"/>
          </w:rPr>
          <w:t>iatarasova@yandex.ru</w:t>
        </w:r>
      </w:hyperlink>
    </w:p>
    <w:p w14:paraId="775CB20A" w14:textId="77777777" w:rsidR="00877BF4" w:rsidRPr="00E26BD2" w:rsidRDefault="00877BF4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A2730BB" w14:textId="77777777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E26BD2"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>Таблица П1.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Данные количественной протеомики: сравнение образцов, обработанных лекарственными препаратами, и контрольных образцов (файл XLSX).</w:t>
      </w:r>
    </w:p>
    <w:p w14:paraId="0C853C98" w14:textId="77777777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E26BD2"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>Таблица П2.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Число идентифицированных и дифференциально регулируемых белков во всех экспериментах (файл XLSX).</w:t>
      </w:r>
    </w:p>
    <w:p w14:paraId="6E7251B5" w14:textId="7294A16A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26BD2"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>Рис. П1.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Количественный анализ 20S</w:t>
      </w:r>
      <w:r w:rsidR="00E26BD2" w:rsidRPr="00E26BD2">
        <w:rPr>
          <w:rFonts w:ascii="Times New Roman" w:eastAsia="Times New Roman" w:hAnsi="Times New Roman" w:cs="Times New Roman"/>
          <w:sz w:val="24"/>
          <w:szCs w:val="24"/>
          <w:highlight w:val="white"/>
          <w:lang w:val="ru-RU"/>
        </w:rPr>
        <w:t> 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протеасомы (α- и β-кольца) и 19S</w:t>
      </w:r>
      <w:r w:rsidR="00E26BD2" w:rsidRPr="00E26BD2">
        <w:rPr>
          <w:rFonts w:ascii="Times New Roman" w:eastAsia="Times New Roman" w:hAnsi="Times New Roman" w:cs="Times New Roman"/>
          <w:sz w:val="24"/>
          <w:szCs w:val="24"/>
          <w:highlight w:val="white"/>
          <w:lang w:val="ru-RU"/>
        </w:rPr>
        <w:t> 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протеасомы (субъединицы основание и крышка): зависимость регуляции белков от времени обработки в клеточных линиях A549</w:t>
      </w:r>
      <w:r w:rsidR="001B6E96">
        <w:rPr>
          <w:rFonts w:ascii="Times New Roman" w:eastAsia="Times New Roman" w:hAnsi="Times New Roman" w:cs="Times New Roman"/>
          <w:sz w:val="24"/>
          <w:szCs w:val="24"/>
          <w:highlight w:val="white"/>
          <w:lang w:val="en-US"/>
        </w:rPr>
        <w:t> 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(</w:t>
      </w:r>
      <w:r w:rsidRPr="00E26BD2"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a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), MCF-7</w:t>
      </w:r>
      <w:r w:rsidR="001B6E96">
        <w:rPr>
          <w:rFonts w:ascii="Times New Roman" w:eastAsia="Times New Roman" w:hAnsi="Times New Roman" w:cs="Times New Roman"/>
          <w:sz w:val="24"/>
          <w:szCs w:val="24"/>
          <w:highlight w:val="white"/>
          <w:lang w:val="en-US"/>
        </w:rPr>
        <w:t> 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(</w:t>
      </w:r>
      <w:r w:rsidRPr="00E26BD2"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б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) и HCT116</w:t>
      </w:r>
      <w:r w:rsidR="001B6E96">
        <w:rPr>
          <w:rFonts w:ascii="Times New Roman" w:eastAsia="Times New Roman" w:hAnsi="Times New Roman" w:cs="Times New Roman"/>
          <w:sz w:val="24"/>
          <w:szCs w:val="24"/>
          <w:highlight w:val="white"/>
          <w:lang w:val="en-US"/>
        </w:rPr>
        <w:t> 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(</w:t>
      </w:r>
      <w:r w:rsidRPr="00E26BD2"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в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), а также зависимость от до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>зы препарата</w:t>
      </w:r>
      <w:r w:rsidR="001B6E96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E26BD2">
        <w:rPr>
          <w:rFonts w:ascii="Times New Roman" w:eastAsia="Times New Roman" w:hAnsi="Times New Roman" w:cs="Times New Roman"/>
          <w:i/>
          <w:iCs/>
          <w:sz w:val="24"/>
          <w:szCs w:val="24"/>
        </w:rPr>
        <w:t>г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>); в качестве меры изменений содержания белков использована метрика P-</w:t>
      </w:r>
      <w:proofErr w:type="spellStart"/>
      <w:r w:rsidRPr="00E26BD2">
        <w:rPr>
          <w:rFonts w:ascii="Times New Roman" w:eastAsia="Times New Roman" w:hAnsi="Times New Roman" w:cs="Times New Roman"/>
          <w:sz w:val="24"/>
          <w:szCs w:val="24"/>
        </w:rPr>
        <w:t>score</w:t>
      </w:r>
      <w:proofErr w:type="spellEnd"/>
      <w:r w:rsidRPr="00E26BD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B57953" w14:textId="16EDAB0F" w:rsidR="00877BF4" w:rsidRPr="00E26BD2" w:rsidRDefault="00000000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 w:rsidRPr="00E26BD2">
        <w:rPr>
          <w:rFonts w:ascii="Times New Roman" w:eastAsia="Times New Roman" w:hAnsi="Times New Roman" w:cs="Times New Roman"/>
          <w:b/>
          <w:bCs/>
          <w:sz w:val="24"/>
          <w:szCs w:val="24"/>
        </w:rPr>
        <w:t>Рис. П2.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 Сравнительный анализ изменений концентрации белков (log</w:t>
      </w:r>
      <w:r w:rsidRPr="00E26BD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>FC), вызванных обработкой препаратами</w:t>
      </w:r>
      <w:r w:rsidR="00E26BD2" w:rsidRPr="00E26BD2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26BD2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="00E26BD2" w:rsidRPr="00E26BD2">
        <w:rPr>
          <w:rFonts w:ascii="Times New Roman" w:eastAsia="Times New Roman" w:hAnsi="Times New Roman" w:cs="Times New Roman"/>
          <w:sz w:val="24"/>
          <w:szCs w:val="24"/>
          <w:lang w:val="ru-RU"/>
        </w:rPr>
        <w:t> – П</w:t>
      </w:r>
      <w:proofErr w:type="spellStart"/>
      <w:r w:rsidRPr="00E26BD2">
        <w:rPr>
          <w:rFonts w:ascii="Times New Roman" w:eastAsia="Times New Roman" w:hAnsi="Times New Roman" w:cs="Times New Roman"/>
          <w:sz w:val="24"/>
          <w:szCs w:val="24"/>
        </w:rPr>
        <w:t>ротеасома</w:t>
      </w:r>
      <w:proofErr w:type="spellEnd"/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 (регуляторная частица</w:t>
      </w:r>
      <w:r w:rsidR="00E26BD2" w:rsidRPr="00E26BD2">
        <w:rPr>
          <w:rFonts w:ascii="Times New Roman" w:eastAsia="Times New Roman" w:hAnsi="Times New Roman" w:cs="Times New Roman"/>
          <w:sz w:val="24"/>
          <w:szCs w:val="24"/>
          <w:lang w:val="ru-RU"/>
        </w:rPr>
        <w:t> 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19S); </w:t>
      </w:r>
      <w:r w:rsidRPr="00E26BD2">
        <w:rPr>
          <w:rFonts w:ascii="Times New Roman" w:eastAsia="Times New Roman" w:hAnsi="Times New Roman" w:cs="Times New Roman"/>
          <w:i/>
          <w:iCs/>
          <w:sz w:val="24"/>
          <w:szCs w:val="24"/>
        </w:rPr>
        <w:t>б</w:t>
      </w:r>
      <w:r w:rsidR="00E26BD2" w:rsidRPr="00E26BD2">
        <w:rPr>
          <w:rFonts w:ascii="Times New Roman" w:eastAsia="Times New Roman" w:hAnsi="Times New Roman" w:cs="Times New Roman"/>
          <w:sz w:val="24"/>
          <w:szCs w:val="24"/>
          <w:lang w:val="ru-RU"/>
        </w:rPr>
        <w:t> –</w:t>
      </w:r>
      <w:r w:rsidRPr="00E26BD2">
        <w:rPr>
          <w:rFonts w:ascii="Times New Roman" w:eastAsia="Times New Roman" w:hAnsi="Times New Roman" w:cs="Times New Roman"/>
          <w:sz w:val="24"/>
          <w:szCs w:val="24"/>
        </w:rPr>
        <w:t xml:space="preserve"> эндоплазматич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еский </w:t>
      </w:r>
      <w:proofErr w:type="spellStart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ретикулум</w:t>
      </w:r>
      <w:proofErr w:type="spellEnd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(деградация, ассоциированная с эндоплазматическим </w:t>
      </w:r>
      <w:proofErr w:type="spellStart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ретикулумом</w:t>
      </w:r>
      <w:proofErr w:type="spellEnd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); </w:t>
      </w:r>
      <w:r w:rsidRPr="00E26BD2"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в</w:t>
      </w:r>
      <w:r w:rsidR="00E26BD2" w:rsidRPr="00E26BD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 – 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ядерно-цитоплазматический транспорт; </w:t>
      </w:r>
      <w:r w:rsidRPr="00E26BD2"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г</w:t>
      </w:r>
      <w:r w:rsidR="00E26BD2" w:rsidRPr="00E26BD2">
        <w:rPr>
          <w:rFonts w:ascii="Times New Roman" w:eastAsia="Times New Roman" w:hAnsi="Times New Roman" w:cs="Times New Roman"/>
          <w:sz w:val="24"/>
          <w:szCs w:val="24"/>
          <w:lang w:val="ru-RU"/>
        </w:rPr>
        <w:t> –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апоптоз (разрушение цитоскелета). Каждый блок соответствует группе белков со сходными функциями и раздел</w:t>
      </w:r>
      <w:r w:rsidR="00E26BD2" w:rsidRPr="00E26BD2">
        <w:rPr>
          <w:rFonts w:ascii="Times New Roman" w:eastAsia="Times New Roman" w:hAnsi="Times New Roman" w:cs="Times New Roman"/>
          <w:sz w:val="24"/>
          <w:szCs w:val="24"/>
          <w:highlight w:val="white"/>
          <w:lang w:val="ru-RU"/>
        </w:rPr>
        <w:t>е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н на две или три части, соответствующие клеткам A549, HCT116 (при наличии данных) и MCF-7. Анализ выполнен с использованием </w:t>
      </w:r>
      <w:proofErr w:type="spellStart"/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Pathview</w:t>
      </w:r>
      <w:proofErr w:type="spellEnd"/>
      <w:r w:rsidR="00E26BD2" w:rsidRPr="00E26BD2">
        <w:rPr>
          <w:rFonts w:ascii="Times New Roman" w:eastAsia="Times New Roman" w:hAnsi="Times New Roman" w:cs="Times New Roman"/>
          <w:sz w:val="24"/>
          <w:szCs w:val="24"/>
          <w:highlight w:val="white"/>
          <w:lang w:val="ru-RU"/>
        </w:rPr>
        <w:t> 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>[1,</w:t>
      </w:r>
      <w:r w:rsidR="00E26BD2" w:rsidRPr="00E26BD2">
        <w:rPr>
          <w:rFonts w:ascii="Times New Roman" w:eastAsia="Times New Roman" w:hAnsi="Times New Roman" w:cs="Times New Roman"/>
          <w:sz w:val="24"/>
          <w:szCs w:val="24"/>
          <w:highlight w:val="white"/>
          <w:lang w:val="ru-RU"/>
        </w:rPr>
        <w:t> 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2]. Красный и </w:t>
      </w:r>
      <w:r w:rsidRPr="00E26BD2">
        <w:rPr>
          <w:rFonts w:ascii="Times New Roman" w:eastAsia="Times New Roman" w:hAnsi="Times New Roman" w:cs="Times New Roman"/>
          <w:sz w:val="24"/>
          <w:szCs w:val="24"/>
          <w:highlight w:val="white"/>
        </w:rPr>
        <w:lastRenderedPageBreak/>
        <w:t>фиолетовый цвета обозначают соответственно повышение и снижение содержания белков.</w:t>
      </w:r>
    </w:p>
    <w:p w14:paraId="76FC46A2" w14:textId="77777777" w:rsidR="00877BF4" w:rsidRPr="00E26BD2" w:rsidRDefault="00877BF4" w:rsidP="00E26BD2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472E9AC1" w14:textId="77777777" w:rsidR="00877BF4" w:rsidRDefault="00877BF4">
      <w:pPr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14:paraId="61F3B926" w14:textId="77777777" w:rsidR="00877BF4" w:rsidRDefault="00000000">
      <w:pPr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noProof/>
        </w:rPr>
        <w:drawing>
          <wp:inline distT="0" distB="0" distL="0" distR="0" wp14:anchorId="705D5AB1" wp14:editId="486D1DD4">
            <wp:extent cx="5733415" cy="3459480"/>
            <wp:effectExtent l="0" t="0" r="0" b="0"/>
            <wp:docPr id="3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 b="1468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34594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E12DB3E" w14:textId="7256912B" w:rsidR="00877BF4" w:rsidRDefault="00000000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>Рис. П1.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Количественный анализ 20S</w:t>
      </w:r>
      <w:r w:rsidR="00E26BD2">
        <w:rPr>
          <w:rFonts w:ascii="Times New Roman" w:eastAsia="Times New Roman" w:hAnsi="Times New Roman" w:cs="Times New Roman"/>
          <w:sz w:val="24"/>
          <w:szCs w:val="24"/>
          <w:highlight w:val="white"/>
          <w:lang w:val="ru-RU"/>
        </w:rPr>
        <w:t> 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протеасомы (α- и β-кольца) и 19S</w:t>
      </w:r>
      <w:r w:rsidR="00E26BD2">
        <w:rPr>
          <w:rFonts w:ascii="Times New Roman" w:eastAsia="Times New Roman" w:hAnsi="Times New Roman" w:cs="Times New Roman"/>
          <w:sz w:val="24"/>
          <w:szCs w:val="24"/>
          <w:highlight w:val="white"/>
          <w:lang w:val="ru-RU"/>
        </w:rPr>
        <w:t> 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протеасомы (субъединицы основание и крышка): зависимость регуляции белков от времени обраб</w:t>
      </w:r>
      <w:r>
        <w:rPr>
          <w:rFonts w:ascii="Times New Roman" w:eastAsia="Times New Roman" w:hAnsi="Times New Roman" w:cs="Times New Roman"/>
          <w:sz w:val="24"/>
          <w:szCs w:val="24"/>
        </w:rPr>
        <w:t>отки в клеточных линиях A549</w:t>
      </w:r>
      <w:r w:rsidR="001B6E96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), MCF-7</w:t>
      </w:r>
      <w:r w:rsidR="001B6E96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sz w:val="24"/>
          <w:szCs w:val="24"/>
        </w:rPr>
        <w:t>) и HCT116</w:t>
      </w:r>
      <w:r w:rsidR="001B6E96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sz w:val="24"/>
          <w:szCs w:val="24"/>
        </w:rPr>
        <w:t>), а также зависимость от дозы препарата</w:t>
      </w:r>
      <w:r w:rsidR="001B6E96">
        <w:rPr>
          <w:rFonts w:ascii="Times New Roman" w:eastAsia="Times New Roman" w:hAnsi="Times New Roman" w:cs="Times New Roman"/>
          <w:sz w:val="24"/>
          <w:szCs w:val="24"/>
          <w:lang w:val="en-US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sz w:val="24"/>
          <w:szCs w:val="24"/>
        </w:rPr>
        <w:t>); в качестве меры изменений содержания белков использована метрика P-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score</w:t>
      </w:r>
      <w:proofErr w:type="spellEnd"/>
    </w:p>
    <w:p w14:paraId="1471BDB5" w14:textId="77777777" w:rsidR="00877BF4" w:rsidRDefault="00000000">
      <w:r>
        <w:rPr>
          <w:noProof/>
        </w:rPr>
        <w:lastRenderedPageBreak/>
        <w:drawing>
          <wp:inline distT="0" distB="0" distL="0" distR="0" wp14:anchorId="1D1E2CA7" wp14:editId="29A3C5F5">
            <wp:extent cx="5733415" cy="4054475"/>
            <wp:effectExtent l="0" t="0" r="0" b="0"/>
            <wp:docPr id="4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54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87769C" w14:textId="300A8D5E" w:rsidR="00877BF4" w:rsidRDefault="0000000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>Рис. П2.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Сравнительный анализ изменений концентрации белков (log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FC), вызванных обработкой препаратами</w:t>
      </w:r>
      <w:r w:rsidR="00E26BD2">
        <w:rPr>
          <w:rFonts w:ascii="Times New Roman" w:eastAsia="Times New Roman" w:hAnsi="Times New Roman" w:cs="Times New Roman"/>
          <w:sz w:val="24"/>
          <w:szCs w:val="24"/>
          <w:highlight w:val="white"/>
          <w:lang w:val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</w:t>
      </w:r>
      <w:r w:rsidR="00E26BD2">
        <w:rPr>
          <w:rFonts w:ascii="Times New Roman" w:eastAsia="Times New Roman" w:hAnsi="Times New Roman" w:cs="Times New Roman"/>
          <w:i/>
          <w:iCs/>
          <w:sz w:val="24"/>
          <w:szCs w:val="24"/>
        </w:rPr>
        <w:t>a</w:t>
      </w:r>
      <w:r w:rsidR="00E26BD2">
        <w:rPr>
          <w:rFonts w:ascii="Times New Roman" w:eastAsia="Times New Roman" w:hAnsi="Times New Roman" w:cs="Times New Roman"/>
          <w:sz w:val="24"/>
          <w:szCs w:val="24"/>
          <w:lang w:val="ru-RU"/>
        </w:rPr>
        <w:t> </w:t>
      </w:r>
      <w:r w:rsidR="00E26BD2" w:rsidRPr="006400EA">
        <w:rPr>
          <w:rFonts w:ascii="Times New Roman" w:eastAsia="Times New Roman" w:hAnsi="Times New Roman" w:cs="Times New Roman"/>
          <w:sz w:val="24"/>
          <w:szCs w:val="24"/>
          <w:lang w:val="ru-RU"/>
        </w:rPr>
        <w:t>–</w:t>
      </w:r>
      <w:r w:rsidR="00E26BD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ротеасома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(регуляторная частица</w:t>
      </w:r>
      <w:r w:rsidR="001B6E96">
        <w:rPr>
          <w:rFonts w:ascii="Times New Roman" w:eastAsia="Times New Roman" w:hAnsi="Times New Roman" w:cs="Times New Roman"/>
          <w:sz w:val="24"/>
          <w:szCs w:val="24"/>
          <w:highlight w:val="white"/>
          <w:lang w:val="en-US"/>
        </w:rPr>
        <w:t> 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19S); </w:t>
      </w:r>
      <w:r w:rsidR="00E26BD2">
        <w:rPr>
          <w:rFonts w:ascii="Times New Roman" w:eastAsia="Times New Roman" w:hAnsi="Times New Roman" w:cs="Times New Roman"/>
          <w:i/>
          <w:iCs/>
          <w:sz w:val="24"/>
          <w:szCs w:val="24"/>
          <w:lang w:val="ru-RU"/>
        </w:rPr>
        <w:t>б</w:t>
      </w:r>
      <w:r w:rsidR="00E26BD2">
        <w:rPr>
          <w:rFonts w:ascii="Times New Roman" w:eastAsia="Times New Roman" w:hAnsi="Times New Roman" w:cs="Times New Roman"/>
          <w:sz w:val="24"/>
          <w:szCs w:val="24"/>
          <w:lang w:val="ru-RU"/>
        </w:rPr>
        <w:t> </w:t>
      </w:r>
      <w:r w:rsidR="00E26BD2" w:rsidRPr="006400EA">
        <w:rPr>
          <w:rFonts w:ascii="Times New Roman" w:eastAsia="Times New Roman" w:hAnsi="Times New Roman" w:cs="Times New Roman"/>
          <w:sz w:val="24"/>
          <w:szCs w:val="24"/>
          <w:lang w:val="ru-RU"/>
        </w:rPr>
        <w:t>–</w:t>
      </w:r>
      <w:r w:rsidR="00E26BD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эндоплазматический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ретикулум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(деградация, ассоциированная с эндоплазматическим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ретикулумом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); </w:t>
      </w:r>
      <w:r w:rsidR="00E26BD2">
        <w:rPr>
          <w:rFonts w:ascii="Times New Roman" w:eastAsia="Times New Roman" w:hAnsi="Times New Roman" w:cs="Times New Roman"/>
          <w:i/>
          <w:iCs/>
          <w:sz w:val="24"/>
          <w:szCs w:val="24"/>
          <w:lang w:val="ru-RU"/>
        </w:rPr>
        <w:t>в</w:t>
      </w:r>
      <w:r w:rsidR="00E26BD2">
        <w:rPr>
          <w:rFonts w:ascii="Times New Roman" w:eastAsia="Times New Roman" w:hAnsi="Times New Roman" w:cs="Times New Roman"/>
          <w:sz w:val="24"/>
          <w:szCs w:val="24"/>
          <w:lang w:val="ru-RU"/>
        </w:rPr>
        <w:t> </w:t>
      </w:r>
      <w:r w:rsidR="00E26BD2" w:rsidRPr="006400EA">
        <w:rPr>
          <w:rFonts w:ascii="Times New Roman" w:eastAsia="Times New Roman" w:hAnsi="Times New Roman" w:cs="Times New Roman"/>
          <w:sz w:val="24"/>
          <w:szCs w:val="24"/>
          <w:lang w:val="ru-RU"/>
        </w:rPr>
        <w:t>–</w:t>
      </w:r>
      <w:r w:rsidR="00E26BD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ядерно-цитоплазматический транспорт; </w:t>
      </w:r>
      <w:r w:rsidR="00E26BD2">
        <w:rPr>
          <w:rFonts w:ascii="Times New Roman" w:eastAsia="Times New Roman" w:hAnsi="Times New Roman" w:cs="Times New Roman"/>
          <w:i/>
          <w:iCs/>
          <w:sz w:val="24"/>
          <w:szCs w:val="24"/>
          <w:lang w:val="ru-RU"/>
        </w:rPr>
        <w:t>г</w:t>
      </w:r>
      <w:r w:rsidR="00E26BD2">
        <w:rPr>
          <w:rFonts w:ascii="Times New Roman" w:eastAsia="Times New Roman" w:hAnsi="Times New Roman" w:cs="Times New Roman"/>
          <w:sz w:val="24"/>
          <w:szCs w:val="24"/>
          <w:lang w:val="ru-RU"/>
        </w:rPr>
        <w:t> </w:t>
      </w:r>
      <w:r w:rsidR="00E26BD2" w:rsidRPr="006400EA">
        <w:rPr>
          <w:rFonts w:ascii="Times New Roman" w:eastAsia="Times New Roman" w:hAnsi="Times New Roman" w:cs="Times New Roman"/>
          <w:sz w:val="24"/>
          <w:szCs w:val="24"/>
          <w:lang w:val="ru-RU"/>
        </w:rPr>
        <w:t>–</w:t>
      </w:r>
      <w:r w:rsidR="00E26BD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апоптоз (разрушение цитоскелета). Каждый блок соответствует группе белков со сходными функциями и разделён на две или три части, соответствующие клеткам A549, HCT116 (при наличии данных) и MCF-7. Анализ выполнен с использованием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Pathview</w:t>
      </w:r>
      <w:proofErr w:type="spellEnd"/>
      <w:r w:rsidR="00E26BD2">
        <w:rPr>
          <w:rFonts w:ascii="Times New Roman" w:eastAsia="Times New Roman" w:hAnsi="Times New Roman" w:cs="Times New Roman"/>
          <w:sz w:val="24"/>
          <w:szCs w:val="24"/>
          <w:highlight w:val="white"/>
          <w:lang w:val="ru-RU"/>
        </w:rPr>
        <w:t> 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[1,</w:t>
      </w:r>
      <w:r w:rsidR="00E26BD2">
        <w:rPr>
          <w:rFonts w:ascii="Times New Roman" w:eastAsia="Times New Roman" w:hAnsi="Times New Roman" w:cs="Times New Roman"/>
          <w:sz w:val="24"/>
          <w:szCs w:val="24"/>
          <w:highlight w:val="white"/>
          <w:lang w:val="ru-RU"/>
        </w:rPr>
        <w:t> 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2]. Красный и фиолетовый цвета обозначают соответственно повышение и снижение содержания белков</w:t>
      </w:r>
    </w:p>
    <w:p w14:paraId="69DE1ECD" w14:textId="77777777" w:rsidR="00877BF4" w:rsidRDefault="00877BF4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950A067" w14:textId="77777777" w:rsidR="00877BF4" w:rsidRDefault="00877BF4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526418B" w14:textId="77777777" w:rsidR="00877BF4" w:rsidRPr="00E26BD2" w:rsidRDefault="00000000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Список</w:t>
      </w:r>
      <w:r w:rsidRPr="00E26BD2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литературы</w:t>
      </w:r>
    </w:p>
    <w:p w14:paraId="57AD5F31" w14:textId="77777777" w:rsidR="00877BF4" w:rsidRPr="00E26BD2" w:rsidRDefault="00877BF4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3129B1A5" w14:textId="77777777" w:rsidR="00877BF4" w:rsidRPr="00E26BD2" w:rsidRDefault="00000000">
      <w:pPr>
        <w:spacing w:line="360" w:lineRule="auto"/>
        <w:ind w:left="720" w:hanging="720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1.</w:t>
      </w:r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 xml:space="preserve">Luo, W., Pant, G., </w:t>
      </w:r>
      <w:proofErr w:type="spellStart"/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Bhavnasi</w:t>
      </w:r>
      <w:proofErr w:type="spellEnd"/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, Y.K., Blanchard, S.G., and Brouwer, C. (2017) </w:t>
      </w:r>
      <w:proofErr w:type="spellStart"/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Pathview</w:t>
      </w:r>
      <w:proofErr w:type="spellEnd"/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 Web: user friendly pathway visualization and data integration, </w:t>
      </w:r>
      <w:r w:rsidRPr="00E26BD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Nucleic Acids Research</w:t>
      </w:r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, </w:t>
      </w:r>
      <w:r w:rsidRPr="00E26BD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45</w:t>
      </w:r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, W501-W508.</w:t>
      </w:r>
    </w:p>
    <w:p w14:paraId="2790CE6D" w14:textId="77777777" w:rsidR="00877BF4" w:rsidRPr="00E26BD2" w:rsidRDefault="00000000">
      <w:pPr>
        <w:spacing w:line="360" w:lineRule="auto"/>
        <w:ind w:left="720" w:hanging="720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2.</w:t>
      </w:r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ab/>
        <w:t xml:space="preserve">Luo, W., and Brouwer, C. (2013) </w:t>
      </w:r>
      <w:proofErr w:type="spellStart"/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Pathview</w:t>
      </w:r>
      <w:proofErr w:type="spellEnd"/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proofErr w:type="gramStart"/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an</w:t>
      </w:r>
      <w:proofErr w:type="gramEnd"/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 R/Bioconductor package for pathway-based data integration and visualization, </w:t>
      </w:r>
      <w:r w:rsidRPr="00E26BD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  <w:t>Bioinformatics</w:t>
      </w:r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 xml:space="preserve">, </w:t>
      </w:r>
      <w:r w:rsidRPr="00E26BD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29</w:t>
      </w:r>
      <w:r w:rsidRPr="00E26BD2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, 1830-1831.</w:t>
      </w:r>
    </w:p>
    <w:p w14:paraId="794BEA02" w14:textId="77777777" w:rsidR="00877BF4" w:rsidRPr="00E26BD2" w:rsidRDefault="00877BF4">
      <w:pPr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sectPr w:rsidR="00877BF4" w:rsidRPr="00E26BD2">
      <w:pgSz w:w="11906" w:h="16838"/>
      <w:pgMar w:top="1440" w:right="1440" w:bottom="1440" w:left="1440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" w:fontKey="{BB28A842-3220-4E1D-9678-9AB284351DD1}"/>
    <w:embedItalic r:id="rId2" w:fontKey="{814A98B4-2654-4939-A250-3C33CAE8E6D8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463FE903-2E65-40B4-B6B2-D65D0D44DA2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3820EC0A-D11B-4B87-BBEE-A3E073B25BC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7BF4"/>
    <w:rsid w:val="001B6E96"/>
    <w:rsid w:val="00791C7B"/>
    <w:rsid w:val="00877BF4"/>
    <w:rsid w:val="00E26B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7C27DA"/>
  <w15:docId w15:val="{B078F7BA-59D5-461E-A4D8-57D035DFF0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character" w:styleId="a4">
    <w:name w:val="Hyperlink"/>
    <w:basedOn w:val="a0"/>
    <w:uiPriority w:val="99"/>
    <w:unhideWhenUsed/>
    <w:rsid w:val="008B75D5"/>
    <w:rPr>
      <w:color w:val="0000FF" w:themeColor="hyperlink"/>
      <w:u w:val="single"/>
    </w:rPr>
  </w:style>
  <w:style w:type="paragraph" w:customStyle="1" w:styleId="10">
    <w:name w:val="Заголовок1"/>
    <w:next w:val="a5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5">
    <w:name w:val="Body Text"/>
    <w:pPr>
      <w:spacing w:after="140"/>
    </w:pPr>
  </w:style>
  <w:style w:type="paragraph" w:styleId="a6">
    <w:name w:val="List"/>
    <w:basedOn w:val="a5"/>
    <w:rPr>
      <w:rFonts w:cs="Lucida Sans"/>
    </w:rPr>
  </w:style>
  <w:style w:type="paragraph" w:styleId="a7">
    <w:name w:val="caption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11">
    <w:name w:val="Указатель1"/>
    <w:qFormat/>
    <w:pPr>
      <w:suppressLineNumbers/>
    </w:pPr>
    <w:rPr>
      <w:rFonts w:cs="Lucida Sans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8">
    <w:name w:val="Revision"/>
    <w:hidden/>
    <w:uiPriority w:val="99"/>
    <w:semiHidden/>
    <w:rsid w:val="00E50EB9"/>
  </w:style>
  <w:style w:type="paragraph" w:styleId="a9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hyperlink" Target="mailto:iatarasova@yandex.ru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+gu2FMNQewfansxl7f46cAHRkQ==">CgMxLjA4AGo+CjVzdWdnZXN0SWRJbXBvcnRmOWQ2MmRiYi04OWExLTQyZGUtODY5Zi1iODQ3NmZkYjk5ODNfMxIFRWxlbmFqPwo2c3VnZ2VzdElkSW1wb3J0ZjlkNjJkYmItODlhMS00MmRlLTg2OWYtYjg0NzZmZGI5OTgzXzQyEgVFbGVuYWo+CjVzdWdnZXN0SWRJbXBvcnRmOWQ2MmRiYi04OWExLTQyZGUtODY5Zi1iODQ3NmZkYjk5ODNfMRIFRWxlbmFqPgo1c3VnZ2VzdElkSW1wb3J0ZjlkNjJkYmItODlhMS00MmRlLTg2OWYtYjg0NzZmZGI5OTgzXzkSBUVsZW5haj8KNnN1Z2dlc3RJZEltcG9ydGY5ZDYyZGJiLTg5YTEtNDJkZS04NjlmLWI4NDc2ZmRiOTk4M18yNhIFRWxlbmFqPwo2c3VnZ2VzdElkSW1wb3J0ZjlkNjJkYmItODlhMS00MmRlLTg2OWYtYjg0NzZmZGI5OTgzXzI5EgVFbGVuYWo/CjZzdWdnZXN0SWRJbXBvcnRmOWQ2MmRiYi04OWExLTQyZGUtODY5Zi1iODQ3NmZkYjk5ODNfNDESBUVsZW5haj8KNnN1Z2dlc3RJZEltcG9ydGY5ZDYyZGJiLTg5YTEtNDJkZS04NjlmLWI4NDc2ZmRiOTk4M180NxIFRWxlbmFqPwo2c3VnZ2VzdElkSW1wb3J0ZjlkNjJkYmItODlhMS00MmRlLTg2OWYtYjg0NzZmZGI5OTgzXzMyEgVFbGVuYWo/CjZzdWdnZXN0SWRJbXBvcnRmOWQ2MmRiYi04OWExLTQyZGUtODY5Zi1iODQ3NmZkYjk5ODNfMzESBUVsZW5haj8KNnN1Z2dlc3RJZEltcG9ydGY5ZDYyZGJiLTg5YTEtNDJkZS04NjlmLWI4NDc2ZmRiOTk4M180NBIFRWxlbmFqPwo2c3VnZ2VzdElkSW1wb3J0ZjlkNjJkYmItODlhMS00MmRlLTg2OWYtYjg0NzZmZGI5OTgzXzM3EgVFbGVuYWo/CjZzdWdnZXN0SWRJbXBvcnRmOWQ2MmRiYi04OWExLTQyZGUtODY5Zi1iODQ3NmZkYjk5ODNfMTYSBUVsZW5haj8KNnN1Z2dlc3RJZEltcG9ydGY5ZDYyZGJiLTg5YTEtNDJkZS04NjlmLWI4NDc2ZmRiOTk4M18yNBIFRWxlbmFqPwo2c3VnZ2VzdElkSW1wb3J0ZjlkNjJkYmItODlhMS00MmRlLTg2OWYtYjg0NzZmZGI5OTgzXzM0EgVFbGVuYWo/CjZzdWdnZXN0SWRJbXBvcnRmOWQ2MmRiYi04OWExLTQyZGUtODY5Zi1iODQ3NmZkYjk5ODNfMTkSBUVsZW5haj8KNnN1Z2dlc3RJZEltcG9ydGY5ZDYyZGJiLTg5YTEtNDJkZS04NjlmLWI4NDc2ZmRiOTk4M18xMRIFRWxlbmFqPwo2c3VnZ2VzdElkSW1wb3J0ZjlkNjJkYmItODlhMS00MmRlLTg2OWYtYjg0NzZmZGI5OTgzXzQ1EgVFbGVuYWo/CjZzdWdnZXN0SWRJbXBvcnRmOWQ2MmRiYi04OWExLTQyZGUtODY5Zi1iODQ3NmZkYjk5ODNfMjUSBUVsZW5haj8KNnN1Z2dlc3RJZEltcG9ydGY5ZDYyZGJiLTg5YTEtNDJkZS04NjlmLWI4NDc2ZmRiOTk4M18yOBIFRWxlbmFqPwo2c3VnZ2VzdElkSW1wb3J0ZjlkNjJkYmItODlhMS00MmRlLTg2OWYtYjg0NzZmZGI5OTgzXzM5EgVFbGVuYWo+CjVzdWdnZXN0SWRJbXBvcnRmOWQ2MmRiYi04OWExLTQyZGUtODY5Zi1iODQ3NmZkYjk5ODNfNRIFRWxlbmFqPwo2c3VnZ2VzdElkSW1wb3J0ZjlkNjJkYmItODlhMS00MmRlLTg2OWYtYjg0NzZmZGI5OTgzXzM4EgVFbGVuYWo/CjZzdWdnZXN0SWRJbXBvcnRmOWQ2MmRiYi04OWExLTQyZGUtODY5Zi1iODQ3NmZkYjk5ODNfMjESBUVsZW5haj8KNnN1Z2dlc3RJZEltcG9ydGY5ZDYyZGJiLTg5YTEtNDJkZS04NjlmLWI4NDc2ZmRiOTk4M181MBIFRWxlbmFqPwo2c3VnZ2VzdElkSW1wb3J0ZjlkNjJkYmItODlhMS00MmRlLTg2OWYtYjg0NzZmZGI5OTgzXzE0EgVFbGVuYWo+CjVzdWdnZXN0SWRJbXBvcnRmOWQ2MmRiYi04OWExLTQyZGUtODY5Zi1iODQ3NmZkYjk5ODNfNhIFRWxlbmFqPgo1c3VnZ2VzdElkSW1wb3J0ZjlkNjJkYmItODlhMS00MmRlLTg2OWYtYjg0NzZmZGI5OTgzXzISBUVsZW5haj4KNXN1Z2dlc3RJZEltcG9ydGY5ZDYyZGJiLTg5YTEtNDJkZS04NjlmLWI4NDc2ZmRiOTk4M184EgVFbGVuYWo/CjZzdWdnZXN0SWRJbXBvcnRmOWQ2MmRiYi04OWExLTQyZGUtODY5Zi1iODQ3NmZkYjk5ODNfNDgSBUVsZW5haj8KNnN1Z2dlc3RJZEltcG9ydGY5ZDYyZGJiLTg5YTEtNDJkZS04NjlmLWI4NDc2ZmRiOTk4M18xNRIFRWxlbmFqPwo2c3VnZ2VzdElkSW1wb3J0ZjlkNjJkYmItODlhMS00MmRlLTg2OWYtYjg0NzZmZGI5OTgzXzE4EgVFbGVuYWo/CjZzdWdnZXN0SWRJbXBvcnRmOWQ2MmRiYi04OWExLTQyZGUtODY5Zi1iODQ3NmZkYjk5ODNfMjISBUVsZW5hciExaUd5ZV93Qkt4dVFpT1FKSE1Ca1J6bllHSlU1a3JTNl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504</Words>
  <Characters>2874</Characters>
  <Application>Microsoft Office Word</Application>
  <DocSecurity>0</DocSecurity>
  <Lines>23</Lines>
  <Paragraphs>6</Paragraphs>
  <ScaleCrop>false</ScaleCrop>
  <Company/>
  <LinksUpToDate>false</LinksUpToDate>
  <CharactersWithSpaces>3372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Elena</cp:lastModifiedBy>
  <cp:revision>4</cp:revision>
  <dcterms:created xsi:type="dcterms:W3CDTF">2026-02-07T17:48:00Z</dcterms:created>
  <dcterms:modified xsi:type="dcterms:W3CDTF">2026-02-08T16:58:00Z</dcterms:modified>
</cp:coreProperties>
</file>